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623C" w14:textId="77777777" w:rsidR="00BE185D" w:rsidRDefault="00BE185D">
      <w:pPr>
        <w:rPr>
          <w:rFonts w:ascii="Open Sans" w:hAnsi="Open Sans" w:cs="Open Sans"/>
          <w:szCs w:val="22"/>
        </w:rPr>
      </w:pPr>
    </w:p>
    <w:p w14:paraId="5D827156" w14:textId="77777777" w:rsidR="00D053EC" w:rsidRDefault="00D053EC" w:rsidP="005031DD">
      <w:pPr>
        <w:pStyle w:val="Doctitle"/>
        <w:rPr>
          <w:rStyle w:val="Strong"/>
          <w:rFonts w:asciiTheme="minorHAnsi" w:hAnsiTheme="minorHAnsi"/>
          <w:bCs w:val="0"/>
          <w:sz w:val="72"/>
        </w:rPr>
      </w:pPr>
    </w:p>
    <w:p w14:paraId="7042CC67" w14:textId="77777777" w:rsidR="00CA15BB" w:rsidRDefault="00CA15BB" w:rsidP="00CA15BB">
      <w:pPr>
        <w:pStyle w:val="Doctitle"/>
        <w:rPr>
          <w:rStyle w:val="Strong"/>
          <w:b w:val="0"/>
          <w:bCs w:val="0"/>
        </w:rPr>
      </w:pPr>
      <w:r>
        <w:rPr>
          <w:noProof/>
          <w:lang w:val="en-GB" w:eastAsia="en-GB"/>
        </w:rPr>
        <mc:AlternateContent>
          <mc:Choice Requires="wps">
            <w:drawing>
              <wp:anchor distT="0" distB="0" distL="114300" distR="114300" simplePos="0" relativeHeight="251659264" behindDoc="0" locked="0" layoutInCell="1" allowOverlap="1" wp14:anchorId="4063B902" wp14:editId="4CBD5FC3">
                <wp:simplePos x="0" y="0"/>
                <wp:positionH relativeFrom="column">
                  <wp:posOffset>-228600</wp:posOffset>
                </wp:positionH>
                <wp:positionV relativeFrom="paragraph">
                  <wp:posOffset>120015</wp:posOffset>
                </wp:positionV>
                <wp:extent cx="621030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0300" cy="609600"/>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052A7" w14:textId="28ED7027" w:rsidR="00406DA1" w:rsidRDefault="00FD1118" w:rsidP="00CA15BB">
                            <w:pPr>
                              <w:pStyle w:val="Doctitle"/>
                            </w:pPr>
                            <w:proofErr w:type="spellStart"/>
                            <w:r>
                              <w:t>AoC</w:t>
                            </w:r>
                            <w:proofErr w:type="spellEnd"/>
                            <w:r>
                              <w:t xml:space="preserve"> </w:t>
                            </w:r>
                            <w:r w:rsidR="00406DA1">
                              <w:t>Briefing: A Level Music in Colleges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3B902" id="_x0000_t202" coordsize="21600,21600" o:spt="202" path="m,l,21600r21600,l21600,xe">
                <v:stroke joinstyle="miter"/>
                <v:path gradientshapeok="t" o:connecttype="rect"/>
              </v:shapetype>
              <v:shape id="Text Box 1" o:spid="_x0000_s1026" type="#_x0000_t202" style="position:absolute;left:0;text-align:left;margin-left:-18pt;margin-top:9.45pt;width:48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E9iAIAAI4FAAAOAAAAZHJzL2Uyb0RvYy54bWysVEtvEzEQviPxHyzfyW7SNNComyq0CkKq&#10;2ooW9ex47cTC9hjbyW749Yy9mwcFDkVcdseez/P45nF51RpNtsIHBbaiw0FJibAcamVXFf36tHj3&#10;gZIQma2ZBisquhOBXs3evrls3FSMYA26Fp6gERumjavoOkY3LYrA18KwMAAnLColeMMiHv2qqD1r&#10;0LrRxagsJ0UDvnYeuAgBb286JZ1l+1IKHu+lDCISXVGMLeavz99l+hazSzZdeebWivdhsH+IwjBl&#10;0enB1A2LjGy8+s2UUdxDABkHHEwBUioucg6YzbB8kc3jmjmRc0FygjvQFP6fWX63ffBE1Vg7Siwz&#10;WKIn0UbyEVoyTOw0LkwR9OgQFlu8Tsj+PuBlSrqV3qQ/pkNQjzzvDtwmYxwvJ6NheVaiiqNuUl5M&#10;UEYzxfG18yF+EmBIEirqsXaZUra9DbGD7iHJWQCt6oXSOh9Sv4hr7cmWYaUZ58LGSe/gF6S2pMEA&#10;zs7LbNxCMtFZ1zaZErlrepcp+y7LLMWdFgmj7RchkbWc7F/9Z54wwYxOKImuXvOwxx+jes3jLg98&#10;kT2DjYfHRlnwOfs8Zkfa6m/7kGWHx/qc5J3E2C7bvvpLqHfYFB66oQqOLxRW7paF+MA8ThEWGzdD&#10;vMeP1ICsQy9Rsgb/40/3CY/NjVpKGpzKiobvG+YFJfqzxba/GI7HaYzzYXz+foQHf6pZnmrsxlwD&#10;tgO2NkaXxYSPei9KD+YZF8g8eUUVsxx9VzTuxevY7QpcQFzM5xmEg+tYvLWPjifTid7Ul0/tM/Ou&#10;b96IbX8H+/ll0xc93GHTSwvzTQSpcoMngjtWe+Jx6POI9AsqbZXTc0Yd1+jsJwAAAP//AwBQSwME&#10;FAAGAAgAAAAhAAS79sbeAAAACgEAAA8AAABkcnMvZG93bnJldi54bWxMj0FPg0AQhe8m/ofNmHhr&#10;F5A0QFkaNRovXkSj1ym7BSI7S9mlRX+940mP897Lm++Vu8UO4mQm3ztSEK8jEIYap3tqFby9Pq4y&#10;ED4gaRwcGQVfxsOuurwosdDuTC/mVIdWcAn5AhV0IYyFlL7pjEW/dqMh9g5ushj4nFqpJzxzuR1k&#10;EkUbabEn/tDhaO4703zWs1VwjI/JR/Y9P7w/o0/ru9jX81Oj1PXVcrsFEcwS/sLwi8/oUDHT3s2k&#10;vRgUrG42vCWwkeUgOJCnCQt7FuI0B1mV8v+E6gcAAP//AwBQSwECLQAUAAYACAAAACEAtoM4kv4A&#10;AADhAQAAEwAAAAAAAAAAAAAAAAAAAAAAW0NvbnRlbnRfVHlwZXNdLnhtbFBLAQItABQABgAIAAAA&#10;IQA4/SH/1gAAAJQBAAALAAAAAAAAAAAAAAAAAC8BAABfcmVscy8ucmVsc1BLAQItABQABgAIAAAA&#10;IQC74TE9iAIAAI4FAAAOAAAAAAAAAAAAAAAAAC4CAABkcnMvZTJvRG9jLnhtbFBLAQItABQABgAI&#10;AAAAIQAEu/bG3gAAAAoBAAAPAAAAAAAAAAAAAAAAAOIEAABkcnMvZG93bnJldi54bWxQSwUGAAAA&#10;AAQABADzAAAA7QUAAAAA&#10;" fillcolor="#db4862 [3209]" stroked="f" strokeweight=".5pt">
                <v:textbox>
                  <w:txbxContent>
                    <w:p w14:paraId="021052A7" w14:textId="28ED7027" w:rsidR="00406DA1" w:rsidRDefault="00FD1118" w:rsidP="00CA15BB">
                      <w:pPr>
                        <w:pStyle w:val="Doctitle"/>
                      </w:pPr>
                      <w:proofErr w:type="spellStart"/>
                      <w:r>
                        <w:t>AoC</w:t>
                      </w:r>
                      <w:proofErr w:type="spellEnd"/>
                      <w:r>
                        <w:t xml:space="preserve"> </w:t>
                      </w:r>
                      <w:r w:rsidR="00406DA1">
                        <w:t>Briefing: A Level Music in Colleges</w:t>
                      </w:r>
                    </w:p>
                  </w:txbxContent>
                </v:textbox>
              </v:shape>
            </w:pict>
          </mc:Fallback>
        </mc:AlternateContent>
      </w:r>
    </w:p>
    <w:p w14:paraId="4DA8754B" w14:textId="77777777" w:rsidR="00CA15BB" w:rsidRDefault="00CA15BB" w:rsidP="005031DD">
      <w:pPr>
        <w:pStyle w:val="Heading1"/>
      </w:pPr>
    </w:p>
    <w:p w14:paraId="52A88B0C" w14:textId="77777777" w:rsidR="00CA15BB" w:rsidRDefault="00CA15BB" w:rsidP="005031DD">
      <w:pPr>
        <w:pStyle w:val="Heading1"/>
      </w:pPr>
    </w:p>
    <w:p w14:paraId="23317841" w14:textId="16019061" w:rsidR="00A1617A" w:rsidRPr="00FD1118" w:rsidRDefault="00A1617A" w:rsidP="00C767A0">
      <w:pPr>
        <w:rPr>
          <w:rFonts w:ascii="Open Sans" w:hAnsi="Open Sans" w:cs="Open Sans"/>
          <w:sz w:val="23"/>
          <w:szCs w:val="23"/>
          <w:lang w:val="en-US"/>
        </w:rPr>
      </w:pPr>
      <w:r w:rsidRPr="00FD1118">
        <w:rPr>
          <w:rFonts w:ascii="Open Sans" w:hAnsi="Open Sans" w:cs="Open Sans"/>
          <w:sz w:val="23"/>
          <w:szCs w:val="23"/>
          <w:lang w:val="en-US"/>
        </w:rPr>
        <w:t xml:space="preserve">The </w:t>
      </w:r>
      <w:r w:rsidR="000F5E05" w:rsidRPr="00FD1118">
        <w:rPr>
          <w:rFonts w:ascii="Open Sans" w:hAnsi="Open Sans" w:cs="Open Sans"/>
          <w:sz w:val="23"/>
          <w:szCs w:val="23"/>
          <w:lang w:val="en-US"/>
        </w:rPr>
        <w:t xml:space="preserve">recent </w:t>
      </w:r>
      <w:r w:rsidRPr="00FD1118">
        <w:rPr>
          <w:rFonts w:ascii="Open Sans" w:hAnsi="Open Sans" w:cs="Open Sans"/>
          <w:sz w:val="23"/>
          <w:szCs w:val="23"/>
          <w:lang w:val="en-US"/>
        </w:rPr>
        <w:t xml:space="preserve">Birmingham City University report: ‘Geographical and social demographic trends of A Level music </w:t>
      </w:r>
      <w:r w:rsidR="00406DA1" w:rsidRPr="00FD1118">
        <w:rPr>
          <w:rFonts w:ascii="Open Sans" w:hAnsi="Open Sans" w:cs="Open Sans"/>
          <w:sz w:val="23"/>
          <w:szCs w:val="23"/>
          <w:lang w:val="en-US"/>
        </w:rPr>
        <w:t xml:space="preserve">students’ </w:t>
      </w:r>
      <w:r w:rsidR="00495988" w:rsidRPr="00FD1118">
        <w:rPr>
          <w:rFonts w:ascii="Open Sans" w:hAnsi="Open Sans" w:cs="Open Sans"/>
          <w:sz w:val="23"/>
          <w:szCs w:val="23"/>
          <w:lang w:val="en-US"/>
        </w:rPr>
        <w:t>raises serious concerns about access to A level music and</w:t>
      </w:r>
      <w:r w:rsidRPr="00FD1118">
        <w:rPr>
          <w:rFonts w:ascii="Open Sans" w:hAnsi="Open Sans" w:cs="Open Sans"/>
          <w:sz w:val="23"/>
          <w:szCs w:val="23"/>
          <w:lang w:val="en-US"/>
        </w:rPr>
        <w:t xml:space="preserve"> highlight</w:t>
      </w:r>
      <w:r w:rsidR="00495988" w:rsidRPr="00FD1118">
        <w:rPr>
          <w:rFonts w:ascii="Open Sans" w:hAnsi="Open Sans" w:cs="Open Sans"/>
          <w:sz w:val="23"/>
          <w:szCs w:val="23"/>
          <w:lang w:val="en-US"/>
        </w:rPr>
        <w:t>s</w:t>
      </w:r>
      <w:r w:rsidRPr="00FD1118">
        <w:rPr>
          <w:rFonts w:ascii="Open Sans" w:hAnsi="Open Sans" w:cs="Open Sans"/>
          <w:sz w:val="23"/>
          <w:szCs w:val="23"/>
          <w:lang w:val="en-US"/>
        </w:rPr>
        <w:t xml:space="preserve"> </w:t>
      </w:r>
      <w:r w:rsidR="00495988" w:rsidRPr="00FD1118">
        <w:rPr>
          <w:rFonts w:ascii="Open Sans" w:hAnsi="Open Sans" w:cs="Open Sans"/>
          <w:sz w:val="23"/>
          <w:szCs w:val="23"/>
          <w:lang w:val="en-US"/>
        </w:rPr>
        <w:t xml:space="preserve">the uneven distribution of A Level music provision, the very small average size of A Level music groups and </w:t>
      </w:r>
      <w:r w:rsidRPr="00FD1118">
        <w:rPr>
          <w:rFonts w:ascii="Open Sans" w:hAnsi="Open Sans" w:cs="Open Sans"/>
          <w:sz w:val="23"/>
          <w:szCs w:val="23"/>
          <w:lang w:val="en-US"/>
        </w:rPr>
        <w:t>the correlation between the low</w:t>
      </w:r>
      <w:r w:rsidR="00495988" w:rsidRPr="00FD1118">
        <w:rPr>
          <w:rFonts w:ascii="Open Sans" w:hAnsi="Open Sans" w:cs="Open Sans"/>
          <w:sz w:val="23"/>
          <w:szCs w:val="23"/>
          <w:lang w:val="en-US"/>
        </w:rPr>
        <w:t>est</w:t>
      </w:r>
      <w:r w:rsidRPr="00FD1118">
        <w:rPr>
          <w:rFonts w:ascii="Open Sans" w:hAnsi="Open Sans" w:cs="Open Sans"/>
          <w:sz w:val="23"/>
          <w:szCs w:val="23"/>
          <w:lang w:val="en-US"/>
        </w:rPr>
        <w:t xml:space="preserve"> number</w:t>
      </w:r>
      <w:r w:rsidR="00495988" w:rsidRPr="00FD1118">
        <w:rPr>
          <w:rFonts w:ascii="Open Sans" w:hAnsi="Open Sans" w:cs="Open Sans"/>
          <w:sz w:val="23"/>
          <w:szCs w:val="23"/>
          <w:lang w:val="en-US"/>
        </w:rPr>
        <w:t>s</w:t>
      </w:r>
      <w:r w:rsidRPr="00FD1118">
        <w:rPr>
          <w:rFonts w:ascii="Open Sans" w:hAnsi="Open Sans" w:cs="Open Sans"/>
          <w:sz w:val="23"/>
          <w:szCs w:val="23"/>
          <w:lang w:val="en-US"/>
        </w:rPr>
        <w:t xml:space="preserve"> of entries and more </w:t>
      </w:r>
      <w:r w:rsidR="00CD04E9" w:rsidRPr="00FD1118">
        <w:rPr>
          <w:rFonts w:ascii="Open Sans" w:hAnsi="Open Sans" w:cs="Open Sans"/>
          <w:sz w:val="23"/>
          <w:szCs w:val="23"/>
          <w:lang w:val="en-US"/>
        </w:rPr>
        <w:t xml:space="preserve">socio-economically </w:t>
      </w:r>
      <w:r w:rsidRPr="00FD1118">
        <w:rPr>
          <w:rFonts w:ascii="Open Sans" w:hAnsi="Open Sans" w:cs="Open Sans"/>
          <w:sz w:val="23"/>
          <w:szCs w:val="23"/>
          <w:lang w:val="en-US"/>
        </w:rPr>
        <w:t xml:space="preserve">disadvantaged </w:t>
      </w:r>
      <w:r w:rsidR="00CD04E9" w:rsidRPr="00FD1118">
        <w:rPr>
          <w:rFonts w:ascii="Open Sans" w:hAnsi="Open Sans" w:cs="Open Sans"/>
          <w:sz w:val="23"/>
          <w:szCs w:val="23"/>
          <w:lang w:val="en-US"/>
        </w:rPr>
        <w:t>areas</w:t>
      </w:r>
      <w:r w:rsidRPr="00FD1118">
        <w:rPr>
          <w:rFonts w:ascii="Open Sans" w:hAnsi="Open Sans" w:cs="Open Sans"/>
          <w:sz w:val="23"/>
          <w:szCs w:val="23"/>
          <w:lang w:val="en-US"/>
        </w:rPr>
        <w:t>.</w:t>
      </w:r>
    </w:p>
    <w:p w14:paraId="17B9687C" w14:textId="2E744D8C" w:rsidR="00CD04E9" w:rsidRPr="00FD1118" w:rsidRDefault="004D075D" w:rsidP="00F57EFE">
      <w:pPr>
        <w:rPr>
          <w:rFonts w:ascii="Open Sans" w:hAnsi="Open Sans" w:cs="Open Sans"/>
          <w:sz w:val="23"/>
          <w:szCs w:val="23"/>
        </w:rPr>
      </w:pPr>
      <w:hyperlink r:id="rId8" w:history="1">
        <w:r w:rsidR="00406DA1" w:rsidRPr="00FD1118">
          <w:rPr>
            <w:rStyle w:val="Hyperlink"/>
            <w:rFonts w:ascii="Open Sans" w:hAnsi="Open Sans" w:cs="Open Sans"/>
            <w:sz w:val="23"/>
            <w:szCs w:val="23"/>
          </w:rPr>
          <w:t>http://researchonline.rcm.ac.uk/502/1/RCM%20RAM%20Report%20FINAL%20%20%28redacted%29180419.pdf</w:t>
        </w:r>
      </w:hyperlink>
      <w:r w:rsidR="00406DA1" w:rsidRPr="00FD1118">
        <w:rPr>
          <w:rFonts w:ascii="Open Sans" w:hAnsi="Open Sans" w:cs="Open Sans"/>
          <w:sz w:val="23"/>
          <w:szCs w:val="23"/>
        </w:rPr>
        <w:t xml:space="preserve"> (April 2019).</w:t>
      </w:r>
    </w:p>
    <w:p w14:paraId="3ECFB0DA" w14:textId="77777777" w:rsidR="00406DA1" w:rsidRPr="00FD1118" w:rsidRDefault="00406DA1" w:rsidP="00F57EFE">
      <w:pPr>
        <w:rPr>
          <w:rFonts w:ascii="Open Sans" w:hAnsi="Open Sans" w:cs="Open Sans"/>
          <w:sz w:val="23"/>
          <w:szCs w:val="23"/>
        </w:rPr>
      </w:pPr>
    </w:p>
    <w:p w14:paraId="35690345" w14:textId="28C01186" w:rsidR="00CD04E9" w:rsidRPr="00FD1118" w:rsidRDefault="00CD04E9" w:rsidP="00F57EFE">
      <w:pPr>
        <w:rPr>
          <w:rFonts w:ascii="Open Sans" w:hAnsi="Open Sans" w:cs="Open Sans"/>
          <w:sz w:val="23"/>
          <w:szCs w:val="23"/>
          <w:lang w:val="en-US"/>
        </w:rPr>
      </w:pPr>
      <w:r w:rsidRPr="00FD1118">
        <w:rPr>
          <w:rFonts w:ascii="Open Sans" w:hAnsi="Open Sans" w:cs="Open Sans"/>
          <w:sz w:val="23"/>
          <w:szCs w:val="23"/>
          <w:lang w:val="en-US"/>
        </w:rPr>
        <w:t>This briefing add</w:t>
      </w:r>
      <w:r w:rsidR="00495988" w:rsidRPr="00FD1118">
        <w:rPr>
          <w:rFonts w:ascii="Open Sans" w:hAnsi="Open Sans" w:cs="Open Sans"/>
          <w:sz w:val="23"/>
          <w:szCs w:val="23"/>
          <w:lang w:val="en-US"/>
        </w:rPr>
        <w:t xml:space="preserve">s </w:t>
      </w:r>
      <w:r w:rsidRPr="00FD1118">
        <w:rPr>
          <w:rFonts w:ascii="Open Sans" w:hAnsi="Open Sans" w:cs="Open Sans"/>
          <w:sz w:val="23"/>
          <w:szCs w:val="23"/>
          <w:lang w:val="en-US"/>
        </w:rPr>
        <w:t xml:space="preserve">to this analysis </w:t>
      </w:r>
      <w:r w:rsidR="00495988" w:rsidRPr="00FD1118">
        <w:rPr>
          <w:rFonts w:ascii="Open Sans" w:hAnsi="Open Sans" w:cs="Open Sans"/>
          <w:sz w:val="23"/>
          <w:szCs w:val="23"/>
          <w:lang w:val="en-US"/>
        </w:rPr>
        <w:t>with</w:t>
      </w:r>
      <w:r w:rsidRPr="00FD1118">
        <w:rPr>
          <w:rFonts w:ascii="Open Sans" w:hAnsi="Open Sans" w:cs="Open Sans"/>
          <w:sz w:val="23"/>
          <w:szCs w:val="23"/>
          <w:lang w:val="en-US"/>
        </w:rPr>
        <w:t xml:space="preserve"> 4 key </w:t>
      </w:r>
      <w:r w:rsidR="00495988" w:rsidRPr="00FD1118">
        <w:rPr>
          <w:rFonts w:ascii="Open Sans" w:hAnsi="Open Sans" w:cs="Open Sans"/>
          <w:sz w:val="23"/>
          <w:szCs w:val="23"/>
          <w:lang w:val="en-US"/>
        </w:rPr>
        <w:t>points</w:t>
      </w:r>
      <w:r w:rsidRPr="00FD1118">
        <w:rPr>
          <w:rFonts w:ascii="Open Sans" w:hAnsi="Open Sans" w:cs="Open Sans"/>
          <w:sz w:val="23"/>
          <w:szCs w:val="23"/>
          <w:lang w:val="en-US"/>
        </w:rPr>
        <w:t>:</w:t>
      </w:r>
    </w:p>
    <w:p w14:paraId="742AE3DE" w14:textId="77777777" w:rsidR="00C767A0" w:rsidRPr="00FD1118" w:rsidRDefault="00C767A0" w:rsidP="00F57EFE">
      <w:pPr>
        <w:rPr>
          <w:rFonts w:ascii="Open Sans" w:hAnsi="Open Sans" w:cs="Open Sans"/>
          <w:sz w:val="23"/>
          <w:szCs w:val="23"/>
          <w:lang w:val="en-US"/>
        </w:rPr>
      </w:pPr>
    </w:p>
    <w:p w14:paraId="5B9662EE" w14:textId="7140D311" w:rsidR="00CD04E9" w:rsidRPr="00FD1118" w:rsidRDefault="00ED1456" w:rsidP="00CD04E9">
      <w:pPr>
        <w:pStyle w:val="Heading2"/>
        <w:numPr>
          <w:ilvl w:val="0"/>
          <w:numId w:val="9"/>
        </w:numPr>
        <w:rPr>
          <w:rFonts w:ascii="Open Sans" w:hAnsi="Open Sans" w:cs="Open Sans"/>
          <w:sz w:val="23"/>
          <w:szCs w:val="23"/>
        </w:rPr>
      </w:pPr>
      <w:r w:rsidRPr="00FD1118">
        <w:rPr>
          <w:rFonts w:ascii="Open Sans" w:hAnsi="Open Sans" w:cs="Open Sans"/>
          <w:sz w:val="23"/>
          <w:szCs w:val="23"/>
        </w:rPr>
        <w:t>Many young people do not have access to an A Level music provider</w:t>
      </w:r>
    </w:p>
    <w:p w14:paraId="15576BF2" w14:textId="77777777" w:rsidR="00C767A0" w:rsidRPr="00FD1118" w:rsidRDefault="00C767A0" w:rsidP="00ED1456">
      <w:pPr>
        <w:rPr>
          <w:rFonts w:ascii="Open Sans" w:hAnsi="Open Sans" w:cs="Open Sans"/>
          <w:sz w:val="23"/>
          <w:szCs w:val="23"/>
        </w:rPr>
      </w:pPr>
    </w:p>
    <w:p w14:paraId="1F4C222C" w14:textId="089A9969" w:rsidR="00ED1456" w:rsidRPr="00FD1118" w:rsidRDefault="00406DA1" w:rsidP="007F1615">
      <w:pPr>
        <w:rPr>
          <w:rFonts w:ascii="Open Sans" w:hAnsi="Open Sans" w:cs="Open Sans"/>
          <w:sz w:val="23"/>
          <w:szCs w:val="23"/>
        </w:rPr>
      </w:pPr>
      <w:r w:rsidRPr="00FD1118">
        <w:rPr>
          <w:rFonts w:ascii="Open Sans" w:hAnsi="Open Sans" w:cs="Open Sans"/>
          <w:sz w:val="23"/>
          <w:szCs w:val="23"/>
        </w:rPr>
        <w:t xml:space="preserve">Over 60% of all A </w:t>
      </w:r>
      <w:proofErr w:type="gramStart"/>
      <w:r w:rsidRPr="00FD1118">
        <w:rPr>
          <w:rFonts w:ascii="Open Sans" w:hAnsi="Open Sans" w:cs="Open Sans"/>
          <w:sz w:val="23"/>
          <w:szCs w:val="23"/>
        </w:rPr>
        <w:t>Level providers</w:t>
      </w:r>
      <w:proofErr w:type="gramEnd"/>
      <w:r w:rsidRPr="00FD1118">
        <w:rPr>
          <w:rFonts w:ascii="Open Sans" w:hAnsi="Open Sans" w:cs="Open Sans"/>
          <w:sz w:val="23"/>
          <w:szCs w:val="23"/>
        </w:rPr>
        <w:t xml:space="preserve"> do not offer A Level music. T</w:t>
      </w:r>
      <w:r w:rsidR="00ED1456" w:rsidRPr="00FD1118">
        <w:rPr>
          <w:rFonts w:ascii="Open Sans" w:hAnsi="Open Sans" w:cs="Open Sans"/>
          <w:sz w:val="23"/>
          <w:szCs w:val="23"/>
        </w:rPr>
        <w:t xml:space="preserve">here are 4 local authority areas with </w:t>
      </w:r>
      <w:proofErr w:type="gramStart"/>
      <w:r w:rsidR="00ED1456" w:rsidRPr="00FD1118">
        <w:rPr>
          <w:rFonts w:ascii="Open Sans" w:hAnsi="Open Sans" w:cs="Open Sans"/>
          <w:sz w:val="23"/>
          <w:szCs w:val="23"/>
        </w:rPr>
        <w:t>no</w:t>
      </w:r>
      <w:proofErr w:type="gramEnd"/>
      <w:r w:rsidR="00ED1456" w:rsidRPr="00FD1118">
        <w:rPr>
          <w:rFonts w:ascii="Open Sans" w:hAnsi="Open Sans" w:cs="Open Sans"/>
          <w:sz w:val="23"/>
          <w:szCs w:val="23"/>
        </w:rPr>
        <w:t xml:space="preserve"> A Level music entries at all (Knowsley, Middlesbrough, Thurrock and Tower Hamlets) and a further 9 </w:t>
      </w:r>
      <w:r w:rsidRPr="00FD1118">
        <w:rPr>
          <w:rFonts w:ascii="Open Sans" w:hAnsi="Open Sans" w:cs="Open Sans"/>
          <w:sz w:val="23"/>
          <w:szCs w:val="23"/>
        </w:rPr>
        <w:t xml:space="preserve">local authority areas </w:t>
      </w:r>
      <w:r w:rsidR="00ED16EB" w:rsidRPr="00FD1118">
        <w:rPr>
          <w:rFonts w:ascii="Open Sans" w:hAnsi="Open Sans" w:cs="Open Sans"/>
          <w:sz w:val="23"/>
          <w:szCs w:val="23"/>
        </w:rPr>
        <w:t>have</w:t>
      </w:r>
      <w:r w:rsidR="00ED1456" w:rsidRPr="00FD1118">
        <w:rPr>
          <w:rFonts w:ascii="Open Sans" w:hAnsi="Open Sans" w:cs="Open Sans"/>
          <w:sz w:val="23"/>
          <w:szCs w:val="23"/>
        </w:rPr>
        <w:t xml:space="preserve"> </w:t>
      </w:r>
      <w:r w:rsidRPr="00FD1118">
        <w:rPr>
          <w:rFonts w:ascii="Open Sans" w:hAnsi="Open Sans" w:cs="Open Sans"/>
          <w:sz w:val="23"/>
          <w:szCs w:val="23"/>
        </w:rPr>
        <w:t>5 or fewer candidates within a single</w:t>
      </w:r>
      <w:r w:rsidR="00ED1456" w:rsidRPr="00FD1118">
        <w:rPr>
          <w:rFonts w:ascii="Open Sans" w:hAnsi="Open Sans" w:cs="Open Sans"/>
          <w:sz w:val="23"/>
          <w:szCs w:val="23"/>
        </w:rPr>
        <w:t xml:space="preserve"> publicly funded provider. </w:t>
      </w:r>
    </w:p>
    <w:p w14:paraId="77484D53" w14:textId="77777777" w:rsidR="00ED1456" w:rsidRPr="00FD1118" w:rsidRDefault="00ED1456" w:rsidP="00ED1456">
      <w:pPr>
        <w:rPr>
          <w:rFonts w:ascii="Open Sans" w:hAnsi="Open Sans" w:cs="Open Sans"/>
          <w:sz w:val="23"/>
          <w:szCs w:val="23"/>
        </w:rPr>
      </w:pPr>
    </w:p>
    <w:p w14:paraId="5E5C9111" w14:textId="1413EDCC" w:rsidR="00F57EFE" w:rsidRPr="00FD1118" w:rsidRDefault="00F57EFE" w:rsidP="00CD04E9">
      <w:pPr>
        <w:pStyle w:val="Heading2"/>
        <w:numPr>
          <w:ilvl w:val="0"/>
          <w:numId w:val="9"/>
        </w:numPr>
        <w:rPr>
          <w:rFonts w:ascii="Open Sans" w:hAnsi="Open Sans" w:cs="Open Sans"/>
          <w:sz w:val="23"/>
          <w:szCs w:val="23"/>
        </w:rPr>
      </w:pPr>
      <w:r w:rsidRPr="00FD1118">
        <w:rPr>
          <w:rFonts w:ascii="Open Sans" w:hAnsi="Open Sans" w:cs="Open Sans"/>
          <w:sz w:val="23"/>
          <w:szCs w:val="23"/>
        </w:rPr>
        <w:t xml:space="preserve">A Level </w:t>
      </w:r>
      <w:r w:rsidR="008B1FC1" w:rsidRPr="00FD1118">
        <w:rPr>
          <w:rFonts w:ascii="Open Sans" w:hAnsi="Open Sans" w:cs="Open Sans"/>
          <w:sz w:val="23"/>
          <w:szCs w:val="23"/>
        </w:rPr>
        <w:t>m</w:t>
      </w:r>
      <w:r w:rsidRPr="00FD1118">
        <w:rPr>
          <w:rFonts w:ascii="Open Sans" w:hAnsi="Open Sans" w:cs="Open Sans"/>
          <w:sz w:val="23"/>
          <w:szCs w:val="23"/>
        </w:rPr>
        <w:t>usic is very vulnerable and is most often taught in unviable groups</w:t>
      </w:r>
      <w:r w:rsidR="00A1617A" w:rsidRPr="00FD1118">
        <w:rPr>
          <w:rFonts w:ascii="Open Sans" w:hAnsi="Open Sans" w:cs="Open Sans"/>
          <w:sz w:val="23"/>
          <w:szCs w:val="23"/>
        </w:rPr>
        <w:t>.</w:t>
      </w:r>
    </w:p>
    <w:p w14:paraId="563C49D9" w14:textId="77777777" w:rsidR="00F57EFE" w:rsidRPr="00FD1118" w:rsidRDefault="00F57EFE" w:rsidP="00F57EFE">
      <w:pPr>
        <w:rPr>
          <w:rFonts w:ascii="Open Sans" w:hAnsi="Open Sans" w:cs="Open Sans"/>
          <w:sz w:val="23"/>
          <w:szCs w:val="23"/>
        </w:rPr>
      </w:pPr>
    </w:p>
    <w:p w14:paraId="3C1530C0" w14:textId="53B1EBDC" w:rsidR="00F57EFE" w:rsidRPr="00FD1118" w:rsidRDefault="00F57EFE" w:rsidP="007F1615">
      <w:pPr>
        <w:pStyle w:val="NoSpacing"/>
        <w:rPr>
          <w:rFonts w:ascii="Open Sans" w:hAnsi="Open Sans" w:cs="Open Sans"/>
          <w:sz w:val="23"/>
          <w:szCs w:val="23"/>
        </w:rPr>
      </w:pPr>
      <w:r w:rsidRPr="00FD1118">
        <w:rPr>
          <w:rFonts w:ascii="Open Sans" w:hAnsi="Open Sans" w:cs="Open Sans"/>
          <w:sz w:val="23"/>
          <w:szCs w:val="23"/>
        </w:rPr>
        <w:t>813 publicly funded colleges and school sixth forms entered candidates for A Level Music in England in 2018</w:t>
      </w:r>
      <w:r w:rsidR="00406DA1" w:rsidRPr="00FD1118">
        <w:rPr>
          <w:rFonts w:ascii="Open Sans" w:hAnsi="Open Sans" w:cs="Open Sans"/>
          <w:sz w:val="23"/>
          <w:szCs w:val="23"/>
        </w:rPr>
        <w:t>.</w:t>
      </w:r>
      <w:r w:rsidRPr="00FD1118">
        <w:rPr>
          <w:rFonts w:ascii="Open Sans" w:hAnsi="Open Sans" w:cs="Open Sans"/>
          <w:sz w:val="23"/>
          <w:szCs w:val="23"/>
        </w:rPr>
        <w:t xml:space="preserve"> 660 of those (81%) had groups of 5 or fewer students, making the subject very vulnerable to closure in those </w:t>
      </w:r>
      <w:r w:rsidR="0075765F" w:rsidRPr="00FD1118">
        <w:rPr>
          <w:rFonts w:ascii="Open Sans" w:hAnsi="Open Sans" w:cs="Open Sans"/>
          <w:sz w:val="23"/>
          <w:szCs w:val="23"/>
        </w:rPr>
        <w:t xml:space="preserve">smaller </w:t>
      </w:r>
      <w:r w:rsidRPr="00FD1118">
        <w:rPr>
          <w:rFonts w:ascii="Open Sans" w:hAnsi="Open Sans" w:cs="Open Sans"/>
          <w:sz w:val="23"/>
          <w:szCs w:val="23"/>
        </w:rPr>
        <w:t>centres.</w:t>
      </w:r>
      <w:r w:rsidR="00406DA1" w:rsidRPr="00FD1118">
        <w:rPr>
          <w:rFonts w:ascii="Open Sans" w:hAnsi="Open Sans" w:cs="Open Sans"/>
          <w:sz w:val="23"/>
          <w:szCs w:val="23"/>
        </w:rPr>
        <w:t xml:space="preserve"> In 49 local authority areas, all the available provision is unviable (</w:t>
      </w:r>
      <w:proofErr w:type="spellStart"/>
      <w:r w:rsidR="00406DA1" w:rsidRPr="00FD1118">
        <w:rPr>
          <w:rFonts w:ascii="Open Sans" w:hAnsi="Open Sans" w:cs="Open Sans"/>
          <w:sz w:val="23"/>
          <w:szCs w:val="23"/>
        </w:rPr>
        <w:t>ie</w:t>
      </w:r>
      <w:proofErr w:type="spellEnd"/>
      <w:r w:rsidR="00406DA1" w:rsidRPr="00FD1118">
        <w:rPr>
          <w:rFonts w:ascii="Open Sans" w:hAnsi="Open Sans" w:cs="Open Sans"/>
          <w:sz w:val="23"/>
          <w:szCs w:val="23"/>
        </w:rPr>
        <w:t>: all providers have 5 or fewer candidates) and is therefore vulnerable.</w:t>
      </w:r>
    </w:p>
    <w:p w14:paraId="0658BB85" w14:textId="218F2CB7" w:rsidR="00F57EFE" w:rsidRPr="00FD1118" w:rsidRDefault="00F57EFE" w:rsidP="00F57EFE">
      <w:pPr>
        <w:pStyle w:val="NoSpacing"/>
        <w:rPr>
          <w:rFonts w:ascii="Open Sans" w:hAnsi="Open Sans" w:cs="Open Sans"/>
          <w:sz w:val="23"/>
          <w:szCs w:val="23"/>
        </w:rPr>
      </w:pPr>
    </w:p>
    <w:p w14:paraId="7FE7FA90" w14:textId="29D09478" w:rsidR="008B1FC1" w:rsidRPr="00FD1118" w:rsidRDefault="008B1FC1" w:rsidP="00ED1456">
      <w:pPr>
        <w:pStyle w:val="ListParagraph"/>
        <w:numPr>
          <w:ilvl w:val="0"/>
          <w:numId w:val="9"/>
        </w:numPr>
        <w:rPr>
          <w:rFonts w:ascii="Open Sans" w:hAnsi="Open Sans" w:cs="Open Sans"/>
          <w:b/>
          <w:bCs/>
          <w:color w:val="00AFBD" w:themeColor="accent1"/>
          <w:sz w:val="23"/>
          <w:szCs w:val="23"/>
        </w:rPr>
      </w:pPr>
      <w:r w:rsidRPr="00FD1118">
        <w:rPr>
          <w:rFonts w:ascii="Open Sans" w:hAnsi="Open Sans" w:cs="Open Sans"/>
          <w:b/>
          <w:bCs/>
          <w:color w:val="00AFBD" w:themeColor="accent1"/>
          <w:sz w:val="23"/>
          <w:szCs w:val="23"/>
        </w:rPr>
        <w:t xml:space="preserve">The largest </w:t>
      </w:r>
      <w:proofErr w:type="gramStart"/>
      <w:r w:rsidRPr="00FD1118">
        <w:rPr>
          <w:rFonts w:ascii="Open Sans" w:hAnsi="Open Sans" w:cs="Open Sans"/>
          <w:b/>
          <w:bCs/>
          <w:color w:val="00AFBD" w:themeColor="accent1"/>
          <w:sz w:val="23"/>
          <w:szCs w:val="23"/>
        </w:rPr>
        <w:t>A Level music providers</w:t>
      </w:r>
      <w:proofErr w:type="gramEnd"/>
      <w:r w:rsidRPr="00FD1118">
        <w:rPr>
          <w:rFonts w:ascii="Open Sans" w:hAnsi="Open Sans" w:cs="Open Sans"/>
          <w:b/>
          <w:bCs/>
          <w:color w:val="00AFBD" w:themeColor="accent1"/>
          <w:sz w:val="23"/>
          <w:szCs w:val="23"/>
        </w:rPr>
        <w:t xml:space="preserve"> are colleges</w:t>
      </w:r>
      <w:r w:rsidR="00ED1456" w:rsidRPr="00FD1118">
        <w:rPr>
          <w:rFonts w:ascii="Open Sans" w:hAnsi="Open Sans" w:cs="Open Sans"/>
          <w:b/>
          <w:bCs/>
          <w:color w:val="00AFBD" w:themeColor="accent1"/>
          <w:sz w:val="23"/>
          <w:szCs w:val="23"/>
        </w:rPr>
        <w:t>,</w:t>
      </w:r>
      <w:r w:rsidRPr="00FD1118">
        <w:rPr>
          <w:rFonts w:ascii="Open Sans" w:hAnsi="Open Sans" w:cs="Open Sans"/>
          <w:b/>
          <w:bCs/>
          <w:color w:val="00AFBD" w:themeColor="accent1"/>
          <w:sz w:val="23"/>
          <w:szCs w:val="23"/>
        </w:rPr>
        <w:t xml:space="preserve"> and colleges are more likely to have viable A Level music group sizes. </w:t>
      </w:r>
    </w:p>
    <w:p w14:paraId="6467DEC4" w14:textId="7FD9FFDB" w:rsidR="00F57EFE" w:rsidRPr="00FD1118" w:rsidRDefault="00F57EFE" w:rsidP="00F57EFE">
      <w:pPr>
        <w:rPr>
          <w:rFonts w:ascii="Open Sans" w:hAnsi="Open Sans" w:cs="Open Sans"/>
          <w:sz w:val="23"/>
          <w:szCs w:val="23"/>
        </w:rPr>
      </w:pPr>
    </w:p>
    <w:p w14:paraId="5098C2E1" w14:textId="5F19CA03" w:rsidR="00C767A0" w:rsidRPr="00FD1118" w:rsidRDefault="0075765F" w:rsidP="007F1615">
      <w:pPr>
        <w:rPr>
          <w:rFonts w:ascii="Open Sans" w:hAnsi="Open Sans" w:cs="Open Sans"/>
          <w:sz w:val="23"/>
          <w:szCs w:val="23"/>
        </w:rPr>
      </w:pPr>
      <w:proofErr w:type="gramStart"/>
      <w:r w:rsidRPr="00FD1118">
        <w:rPr>
          <w:rFonts w:ascii="Open Sans" w:hAnsi="Open Sans" w:cs="Open Sans"/>
          <w:sz w:val="23"/>
          <w:szCs w:val="23"/>
        </w:rPr>
        <w:t>All</w:t>
      </w:r>
      <w:r w:rsidR="00F57EFE" w:rsidRPr="00FD1118">
        <w:rPr>
          <w:rFonts w:ascii="Open Sans" w:hAnsi="Open Sans" w:cs="Open Sans"/>
          <w:sz w:val="23"/>
          <w:szCs w:val="23"/>
        </w:rPr>
        <w:t xml:space="preserve"> </w:t>
      </w:r>
      <w:r w:rsidRPr="00FD1118">
        <w:rPr>
          <w:rFonts w:ascii="Open Sans" w:hAnsi="Open Sans" w:cs="Open Sans"/>
          <w:sz w:val="23"/>
          <w:szCs w:val="23"/>
        </w:rPr>
        <w:t>of</w:t>
      </w:r>
      <w:proofErr w:type="gramEnd"/>
      <w:r w:rsidRPr="00FD1118">
        <w:rPr>
          <w:rFonts w:ascii="Open Sans" w:hAnsi="Open Sans" w:cs="Open Sans"/>
          <w:sz w:val="23"/>
          <w:szCs w:val="23"/>
        </w:rPr>
        <w:t xml:space="preserve"> the </w:t>
      </w:r>
      <w:r w:rsidR="00F57EFE" w:rsidRPr="00FD1118">
        <w:rPr>
          <w:rFonts w:ascii="Open Sans" w:hAnsi="Open Sans" w:cs="Open Sans"/>
          <w:sz w:val="23"/>
          <w:szCs w:val="23"/>
        </w:rPr>
        <w:t xml:space="preserve">10 largest </w:t>
      </w:r>
      <w:r w:rsidR="008B1FC1" w:rsidRPr="00FD1118">
        <w:rPr>
          <w:rFonts w:ascii="Open Sans" w:hAnsi="Open Sans" w:cs="Open Sans"/>
          <w:sz w:val="23"/>
          <w:szCs w:val="23"/>
        </w:rPr>
        <w:t>A Level music centres are colleges, with an average cohort size of 26.8</w:t>
      </w:r>
      <w:r w:rsidRPr="00FD1118">
        <w:rPr>
          <w:rFonts w:ascii="Open Sans" w:hAnsi="Open Sans" w:cs="Open Sans"/>
          <w:sz w:val="23"/>
          <w:szCs w:val="23"/>
        </w:rPr>
        <w:t>. Three quarters o</w:t>
      </w:r>
      <w:r w:rsidR="008B1FC1" w:rsidRPr="00FD1118">
        <w:rPr>
          <w:rFonts w:ascii="Open Sans" w:hAnsi="Open Sans" w:cs="Open Sans"/>
          <w:sz w:val="23"/>
          <w:szCs w:val="23"/>
        </w:rPr>
        <w:t xml:space="preserve">f the 30 A Level music </w:t>
      </w:r>
      <w:proofErr w:type="spellStart"/>
      <w:r w:rsidR="008B1FC1" w:rsidRPr="00FD1118">
        <w:rPr>
          <w:rFonts w:ascii="Open Sans" w:hAnsi="Open Sans" w:cs="Open Sans"/>
          <w:sz w:val="23"/>
          <w:szCs w:val="23"/>
        </w:rPr>
        <w:t>centres</w:t>
      </w:r>
      <w:proofErr w:type="spellEnd"/>
      <w:r w:rsidR="008B1FC1" w:rsidRPr="00FD1118">
        <w:rPr>
          <w:rFonts w:ascii="Open Sans" w:hAnsi="Open Sans" w:cs="Open Sans"/>
          <w:sz w:val="23"/>
          <w:szCs w:val="23"/>
        </w:rPr>
        <w:t xml:space="preserve"> entering more than 10 students</w:t>
      </w:r>
      <w:r w:rsidRPr="00FD1118">
        <w:rPr>
          <w:rFonts w:ascii="Open Sans" w:hAnsi="Open Sans" w:cs="Open Sans"/>
          <w:sz w:val="23"/>
          <w:szCs w:val="23"/>
        </w:rPr>
        <w:t xml:space="preserve"> </w:t>
      </w:r>
      <w:r w:rsidR="000F5E05" w:rsidRPr="00FD1118">
        <w:rPr>
          <w:rFonts w:ascii="Open Sans" w:hAnsi="Open Sans" w:cs="Open Sans"/>
          <w:sz w:val="23"/>
          <w:szCs w:val="23"/>
        </w:rPr>
        <w:t>we</w:t>
      </w:r>
      <w:r w:rsidR="008B1FC1" w:rsidRPr="00FD1118">
        <w:rPr>
          <w:rFonts w:ascii="Open Sans" w:hAnsi="Open Sans" w:cs="Open Sans"/>
          <w:sz w:val="23"/>
          <w:szCs w:val="23"/>
        </w:rPr>
        <w:t>re colleges</w:t>
      </w:r>
      <w:r w:rsidR="00C767A0" w:rsidRPr="00FD1118">
        <w:rPr>
          <w:rFonts w:ascii="Open Sans" w:hAnsi="Open Sans" w:cs="Open Sans"/>
          <w:sz w:val="23"/>
          <w:szCs w:val="23"/>
        </w:rPr>
        <w:t xml:space="preserve"> </w:t>
      </w:r>
      <w:r w:rsidR="00406DA1" w:rsidRPr="00FD1118">
        <w:rPr>
          <w:rFonts w:ascii="Open Sans" w:hAnsi="Open Sans" w:cs="Open Sans"/>
          <w:sz w:val="23"/>
          <w:szCs w:val="23"/>
        </w:rPr>
        <w:t xml:space="preserve">with a wide </w:t>
      </w:r>
      <w:r w:rsidRPr="00FD1118">
        <w:rPr>
          <w:rFonts w:ascii="Open Sans" w:hAnsi="Open Sans" w:cs="Open Sans"/>
          <w:sz w:val="23"/>
          <w:szCs w:val="23"/>
        </w:rPr>
        <w:t>geographical spread:</w:t>
      </w:r>
      <w:r w:rsidR="00C767A0" w:rsidRPr="00FD1118">
        <w:rPr>
          <w:rFonts w:ascii="Open Sans" w:hAnsi="Open Sans" w:cs="Open Sans"/>
          <w:sz w:val="23"/>
          <w:szCs w:val="23"/>
        </w:rPr>
        <w:t xml:space="preserve"> Bolton, Brighton, Cambridgeshire, Camden, </w:t>
      </w:r>
      <w:r w:rsidR="00117C98" w:rsidRPr="00FD1118">
        <w:rPr>
          <w:rFonts w:ascii="Open Sans" w:hAnsi="Open Sans" w:cs="Open Sans"/>
          <w:sz w:val="23"/>
          <w:szCs w:val="23"/>
        </w:rPr>
        <w:t xml:space="preserve">Cheshire, Cornwall, </w:t>
      </w:r>
      <w:r w:rsidR="00C767A0" w:rsidRPr="00FD1118">
        <w:rPr>
          <w:rFonts w:ascii="Open Sans" w:hAnsi="Open Sans" w:cs="Open Sans"/>
          <w:sz w:val="23"/>
          <w:szCs w:val="23"/>
        </w:rPr>
        <w:t xml:space="preserve">Devon, Dudley, Essex, </w:t>
      </w:r>
      <w:r w:rsidR="00117C98" w:rsidRPr="00FD1118">
        <w:rPr>
          <w:rFonts w:ascii="Open Sans" w:hAnsi="Open Sans" w:cs="Open Sans"/>
          <w:sz w:val="23"/>
          <w:szCs w:val="23"/>
        </w:rPr>
        <w:t>Hampshire, Hereford, Kirklees, Lancashire, Manchester, Nottingham, Shropshire, Surrey, Wigan</w:t>
      </w:r>
      <w:r w:rsidR="00406DA1" w:rsidRPr="00FD1118">
        <w:rPr>
          <w:rFonts w:ascii="Open Sans" w:hAnsi="Open Sans" w:cs="Open Sans"/>
          <w:sz w:val="23"/>
          <w:szCs w:val="23"/>
        </w:rPr>
        <w:t>.</w:t>
      </w:r>
    </w:p>
    <w:p w14:paraId="357293C3" w14:textId="77777777" w:rsidR="00C767A0" w:rsidRPr="00FD1118" w:rsidRDefault="00C767A0" w:rsidP="00C767A0">
      <w:pPr>
        <w:rPr>
          <w:rFonts w:ascii="Open Sans" w:hAnsi="Open Sans" w:cs="Open Sans"/>
          <w:sz w:val="23"/>
          <w:szCs w:val="23"/>
        </w:rPr>
      </w:pPr>
    </w:p>
    <w:p w14:paraId="5C9C932F" w14:textId="5DCB7566" w:rsidR="008B1FC1" w:rsidRPr="00FD1118" w:rsidRDefault="008B1FC1" w:rsidP="007F1615">
      <w:pPr>
        <w:rPr>
          <w:rFonts w:ascii="Open Sans" w:hAnsi="Open Sans" w:cs="Open Sans"/>
          <w:sz w:val="23"/>
          <w:szCs w:val="23"/>
        </w:rPr>
      </w:pPr>
      <w:r w:rsidRPr="00FD1118">
        <w:rPr>
          <w:rFonts w:ascii="Open Sans" w:hAnsi="Open Sans" w:cs="Open Sans"/>
          <w:sz w:val="23"/>
          <w:szCs w:val="23"/>
        </w:rPr>
        <w:lastRenderedPageBreak/>
        <w:t>The 78 colleges offering A Level Music ha</w:t>
      </w:r>
      <w:r w:rsidR="00406DA1" w:rsidRPr="00FD1118">
        <w:rPr>
          <w:rFonts w:ascii="Open Sans" w:hAnsi="Open Sans" w:cs="Open Sans"/>
          <w:sz w:val="23"/>
          <w:szCs w:val="23"/>
        </w:rPr>
        <w:t>d</w:t>
      </w:r>
      <w:r w:rsidRPr="00FD1118">
        <w:rPr>
          <w:rFonts w:ascii="Open Sans" w:hAnsi="Open Sans" w:cs="Open Sans"/>
          <w:sz w:val="23"/>
          <w:szCs w:val="23"/>
        </w:rPr>
        <w:t xml:space="preserve"> an average cohort size of 9.5 and 60% of them enter</w:t>
      </w:r>
      <w:r w:rsidR="00406DA1" w:rsidRPr="00FD1118">
        <w:rPr>
          <w:rFonts w:ascii="Open Sans" w:hAnsi="Open Sans" w:cs="Open Sans"/>
          <w:sz w:val="23"/>
          <w:szCs w:val="23"/>
        </w:rPr>
        <w:t>ed</w:t>
      </w:r>
      <w:r w:rsidRPr="00FD1118">
        <w:rPr>
          <w:rFonts w:ascii="Open Sans" w:hAnsi="Open Sans" w:cs="Open Sans"/>
          <w:sz w:val="23"/>
          <w:szCs w:val="23"/>
        </w:rPr>
        <w:t xml:space="preserve"> 6 or more students.</w:t>
      </w:r>
      <w:r w:rsidR="00C767A0" w:rsidRPr="00FD1118">
        <w:rPr>
          <w:rFonts w:ascii="Open Sans" w:hAnsi="Open Sans" w:cs="Open Sans"/>
          <w:sz w:val="23"/>
          <w:szCs w:val="23"/>
        </w:rPr>
        <w:t xml:space="preserve"> </w:t>
      </w:r>
      <w:r w:rsidR="0075765F" w:rsidRPr="00FD1118">
        <w:rPr>
          <w:rFonts w:ascii="Open Sans" w:hAnsi="Open Sans" w:cs="Open Sans"/>
          <w:sz w:val="23"/>
          <w:szCs w:val="23"/>
        </w:rPr>
        <w:t>By comparison, t</w:t>
      </w:r>
      <w:r w:rsidRPr="00FD1118">
        <w:rPr>
          <w:rFonts w:ascii="Open Sans" w:hAnsi="Open Sans" w:cs="Open Sans"/>
          <w:sz w:val="23"/>
          <w:szCs w:val="23"/>
        </w:rPr>
        <w:t>he 735 schools offering A Level music ha</w:t>
      </w:r>
      <w:r w:rsidR="00406DA1" w:rsidRPr="00FD1118">
        <w:rPr>
          <w:rFonts w:ascii="Open Sans" w:hAnsi="Open Sans" w:cs="Open Sans"/>
          <w:sz w:val="23"/>
          <w:szCs w:val="23"/>
        </w:rPr>
        <w:t>d</w:t>
      </w:r>
      <w:r w:rsidRPr="00FD1118">
        <w:rPr>
          <w:rFonts w:ascii="Open Sans" w:hAnsi="Open Sans" w:cs="Open Sans"/>
          <w:sz w:val="23"/>
          <w:szCs w:val="23"/>
        </w:rPr>
        <w:t xml:space="preserve"> an average cohort size of 3.6 and only 14% of them enter</w:t>
      </w:r>
      <w:r w:rsidR="00406DA1" w:rsidRPr="00FD1118">
        <w:rPr>
          <w:rFonts w:ascii="Open Sans" w:hAnsi="Open Sans" w:cs="Open Sans"/>
          <w:sz w:val="23"/>
          <w:szCs w:val="23"/>
        </w:rPr>
        <w:t>ed</w:t>
      </w:r>
      <w:r w:rsidRPr="00FD1118">
        <w:rPr>
          <w:rFonts w:ascii="Open Sans" w:hAnsi="Open Sans" w:cs="Open Sans"/>
          <w:sz w:val="23"/>
          <w:szCs w:val="23"/>
        </w:rPr>
        <w:t xml:space="preserve"> 6 or more students.</w:t>
      </w:r>
    </w:p>
    <w:p w14:paraId="0CB33895" w14:textId="35F853FD" w:rsidR="00F57EFE" w:rsidRPr="00FD1118" w:rsidRDefault="00F57EFE" w:rsidP="00F57EFE">
      <w:pPr>
        <w:pStyle w:val="NoSpacing"/>
        <w:rPr>
          <w:rFonts w:ascii="Open Sans" w:hAnsi="Open Sans" w:cs="Open Sans"/>
          <w:sz w:val="23"/>
          <w:szCs w:val="23"/>
        </w:rPr>
      </w:pPr>
    </w:p>
    <w:p w14:paraId="12BAD94B" w14:textId="484E1D93" w:rsidR="0075765F" w:rsidRPr="00FD1118" w:rsidRDefault="0075765F" w:rsidP="00ED1456">
      <w:pPr>
        <w:pStyle w:val="NoSpacing"/>
        <w:numPr>
          <w:ilvl w:val="0"/>
          <w:numId w:val="9"/>
        </w:numPr>
        <w:rPr>
          <w:rFonts w:ascii="Open Sans" w:hAnsi="Open Sans" w:cs="Open Sans"/>
          <w:b/>
          <w:color w:val="00AFBD" w:themeColor="accent1"/>
          <w:sz w:val="23"/>
          <w:szCs w:val="23"/>
        </w:rPr>
      </w:pPr>
      <w:r w:rsidRPr="00FD1118">
        <w:rPr>
          <w:rFonts w:ascii="Open Sans" w:hAnsi="Open Sans" w:cs="Open Sans"/>
          <w:b/>
          <w:color w:val="00AFBD" w:themeColor="accent1"/>
          <w:sz w:val="23"/>
          <w:szCs w:val="23"/>
        </w:rPr>
        <w:t xml:space="preserve">Any strategy to safeguard </w:t>
      </w:r>
      <w:r w:rsidR="00ED1456" w:rsidRPr="00FD1118">
        <w:rPr>
          <w:rFonts w:ascii="Open Sans" w:hAnsi="Open Sans" w:cs="Open Sans"/>
          <w:b/>
          <w:color w:val="00AFBD" w:themeColor="accent1"/>
          <w:sz w:val="23"/>
          <w:szCs w:val="23"/>
        </w:rPr>
        <w:t>and</w:t>
      </w:r>
      <w:r w:rsidRPr="00FD1118">
        <w:rPr>
          <w:rFonts w:ascii="Open Sans" w:hAnsi="Open Sans" w:cs="Open Sans"/>
          <w:b/>
          <w:color w:val="00AFBD" w:themeColor="accent1"/>
          <w:sz w:val="23"/>
          <w:szCs w:val="23"/>
        </w:rPr>
        <w:t xml:space="preserve"> develop A Level music provision in England should </w:t>
      </w:r>
      <w:r w:rsidR="00ED1456" w:rsidRPr="00FD1118">
        <w:rPr>
          <w:rFonts w:ascii="Open Sans" w:hAnsi="Open Sans" w:cs="Open Sans"/>
          <w:b/>
          <w:color w:val="00AFBD" w:themeColor="accent1"/>
          <w:sz w:val="23"/>
          <w:szCs w:val="23"/>
        </w:rPr>
        <w:t>include</w:t>
      </w:r>
      <w:r w:rsidRPr="00FD1118">
        <w:rPr>
          <w:rFonts w:ascii="Open Sans" w:hAnsi="Open Sans" w:cs="Open Sans"/>
          <w:b/>
          <w:color w:val="00AFBD" w:themeColor="accent1"/>
          <w:sz w:val="23"/>
          <w:szCs w:val="23"/>
        </w:rPr>
        <w:t xml:space="preserve"> colleges</w:t>
      </w:r>
      <w:r w:rsidR="00ED1456" w:rsidRPr="00FD1118">
        <w:rPr>
          <w:rFonts w:ascii="Open Sans" w:hAnsi="Open Sans" w:cs="Open Sans"/>
          <w:b/>
          <w:color w:val="00AFBD" w:themeColor="accent1"/>
          <w:sz w:val="23"/>
          <w:szCs w:val="23"/>
        </w:rPr>
        <w:t>.</w:t>
      </w:r>
    </w:p>
    <w:p w14:paraId="40300DB5" w14:textId="5FF111E1" w:rsidR="0075765F" w:rsidRPr="00FD1118" w:rsidRDefault="0075765F" w:rsidP="00F57EFE">
      <w:pPr>
        <w:pStyle w:val="NoSpacing"/>
        <w:rPr>
          <w:rFonts w:ascii="Open Sans" w:hAnsi="Open Sans" w:cs="Open Sans"/>
          <w:sz w:val="23"/>
          <w:szCs w:val="23"/>
        </w:rPr>
      </w:pPr>
    </w:p>
    <w:p w14:paraId="3563A53D" w14:textId="0DDA2B63" w:rsidR="00B943B5" w:rsidRPr="00FD1118" w:rsidRDefault="00B943B5" w:rsidP="007F1615">
      <w:pPr>
        <w:pStyle w:val="NoSpacing"/>
        <w:rPr>
          <w:rFonts w:ascii="Open Sans" w:hAnsi="Open Sans" w:cs="Open Sans"/>
          <w:sz w:val="23"/>
          <w:szCs w:val="23"/>
        </w:rPr>
      </w:pPr>
      <w:r w:rsidRPr="00FD1118">
        <w:rPr>
          <w:rFonts w:ascii="Open Sans" w:hAnsi="Open Sans" w:cs="Open Sans"/>
          <w:sz w:val="23"/>
          <w:szCs w:val="23"/>
        </w:rPr>
        <w:t>Many colleges already have the critical mass</w:t>
      </w:r>
      <w:r w:rsidR="00207E07" w:rsidRPr="00FD1118">
        <w:rPr>
          <w:rFonts w:ascii="Open Sans" w:hAnsi="Open Sans" w:cs="Open Sans"/>
          <w:sz w:val="23"/>
          <w:szCs w:val="23"/>
        </w:rPr>
        <w:t xml:space="preserve">, the </w:t>
      </w:r>
      <w:proofErr w:type="gramStart"/>
      <w:r w:rsidR="00207E07" w:rsidRPr="00FD1118">
        <w:rPr>
          <w:rFonts w:ascii="Open Sans" w:hAnsi="Open Sans" w:cs="Open Sans"/>
          <w:sz w:val="23"/>
          <w:szCs w:val="23"/>
        </w:rPr>
        <w:t>facilities</w:t>
      </w:r>
      <w:proofErr w:type="gramEnd"/>
      <w:r w:rsidR="00207E07" w:rsidRPr="00FD1118">
        <w:rPr>
          <w:rFonts w:ascii="Open Sans" w:hAnsi="Open Sans" w:cs="Open Sans"/>
          <w:sz w:val="23"/>
          <w:szCs w:val="23"/>
        </w:rPr>
        <w:t xml:space="preserve"> </w:t>
      </w:r>
      <w:r w:rsidRPr="00FD1118">
        <w:rPr>
          <w:rFonts w:ascii="Open Sans" w:hAnsi="Open Sans" w:cs="Open Sans"/>
          <w:sz w:val="23"/>
          <w:szCs w:val="23"/>
        </w:rPr>
        <w:t xml:space="preserve">and </w:t>
      </w:r>
      <w:r w:rsidR="00A1617A" w:rsidRPr="00FD1118">
        <w:rPr>
          <w:rFonts w:ascii="Open Sans" w:hAnsi="Open Sans" w:cs="Open Sans"/>
          <w:sz w:val="23"/>
          <w:szCs w:val="23"/>
        </w:rPr>
        <w:t xml:space="preserve">the </w:t>
      </w:r>
      <w:r w:rsidRPr="00FD1118">
        <w:rPr>
          <w:rFonts w:ascii="Open Sans" w:hAnsi="Open Sans" w:cs="Open Sans"/>
          <w:sz w:val="23"/>
          <w:szCs w:val="23"/>
        </w:rPr>
        <w:t xml:space="preserve">wider catchment area to be in a position to safeguard </w:t>
      </w:r>
      <w:r w:rsidR="00ED1456" w:rsidRPr="00FD1118">
        <w:rPr>
          <w:rFonts w:ascii="Open Sans" w:hAnsi="Open Sans" w:cs="Open Sans"/>
          <w:sz w:val="23"/>
          <w:szCs w:val="23"/>
        </w:rPr>
        <w:t>and</w:t>
      </w:r>
      <w:r w:rsidRPr="00FD1118">
        <w:rPr>
          <w:rFonts w:ascii="Open Sans" w:hAnsi="Open Sans" w:cs="Open Sans"/>
          <w:sz w:val="23"/>
          <w:szCs w:val="23"/>
        </w:rPr>
        <w:t xml:space="preserve"> develop the A Level Music offer in their area. The efficient and cost-effective way to guarantee that every young person who wishes to can access to A Level music within a reasonable travelling distance would be to designate an A Level music hub with a viable, attractive and vibrant offer in every area. Colleges would be well placed to host </w:t>
      </w:r>
      <w:r w:rsidR="00A1617A" w:rsidRPr="00FD1118">
        <w:rPr>
          <w:rFonts w:ascii="Open Sans" w:hAnsi="Open Sans" w:cs="Open Sans"/>
          <w:sz w:val="23"/>
          <w:szCs w:val="23"/>
        </w:rPr>
        <w:t xml:space="preserve">many </w:t>
      </w:r>
      <w:r w:rsidRPr="00FD1118">
        <w:rPr>
          <w:rFonts w:ascii="Open Sans" w:hAnsi="Open Sans" w:cs="Open Sans"/>
          <w:sz w:val="23"/>
          <w:szCs w:val="23"/>
        </w:rPr>
        <w:t>such hubs.</w:t>
      </w:r>
    </w:p>
    <w:p w14:paraId="48D7D232" w14:textId="77777777" w:rsidR="00B943B5" w:rsidRPr="00FD1118" w:rsidRDefault="00B943B5" w:rsidP="00F57EFE">
      <w:pPr>
        <w:pStyle w:val="NoSpacing"/>
        <w:rPr>
          <w:rFonts w:ascii="Open Sans" w:hAnsi="Open Sans" w:cs="Open Sans"/>
          <w:sz w:val="23"/>
          <w:szCs w:val="23"/>
        </w:rPr>
      </w:pPr>
    </w:p>
    <w:p w14:paraId="3E47C8EB" w14:textId="2A86D908" w:rsidR="00B943B5" w:rsidRPr="00FD1118" w:rsidRDefault="00B943B5" w:rsidP="007F1615">
      <w:pPr>
        <w:pStyle w:val="NoSpacing"/>
        <w:rPr>
          <w:rFonts w:ascii="Open Sans" w:hAnsi="Open Sans" w:cs="Open Sans"/>
          <w:sz w:val="23"/>
          <w:szCs w:val="23"/>
        </w:rPr>
      </w:pPr>
      <w:r w:rsidRPr="00FD1118">
        <w:rPr>
          <w:rFonts w:ascii="Open Sans" w:hAnsi="Open Sans" w:cs="Open Sans"/>
          <w:sz w:val="23"/>
          <w:szCs w:val="23"/>
        </w:rPr>
        <w:t>A similar approach could be taken to safeguard other vulnerable A Level subjects</w:t>
      </w:r>
      <w:r w:rsidR="00A1617A" w:rsidRPr="00FD1118">
        <w:rPr>
          <w:rFonts w:ascii="Open Sans" w:hAnsi="Open Sans" w:cs="Open Sans"/>
          <w:sz w:val="23"/>
          <w:szCs w:val="23"/>
        </w:rPr>
        <w:t>,</w:t>
      </w:r>
      <w:r w:rsidRPr="00FD1118">
        <w:rPr>
          <w:rFonts w:ascii="Open Sans" w:hAnsi="Open Sans" w:cs="Open Sans"/>
          <w:sz w:val="23"/>
          <w:szCs w:val="23"/>
        </w:rPr>
        <w:t xml:space="preserve"> in performing arts and languages for example. </w:t>
      </w:r>
    </w:p>
    <w:p w14:paraId="5B569C38" w14:textId="77777777" w:rsidR="00C767A0" w:rsidRPr="00FD1118" w:rsidRDefault="00C767A0" w:rsidP="00F57EFE">
      <w:pPr>
        <w:pStyle w:val="NoSpacing"/>
        <w:rPr>
          <w:rFonts w:ascii="Open Sans" w:hAnsi="Open Sans" w:cs="Open Sans"/>
          <w:b/>
          <w:sz w:val="23"/>
          <w:szCs w:val="23"/>
        </w:rPr>
      </w:pPr>
    </w:p>
    <w:p w14:paraId="32C93A1C" w14:textId="1DA4EE4C" w:rsidR="007E5544" w:rsidRPr="00FD1118" w:rsidRDefault="0075765F" w:rsidP="00F57EFE">
      <w:pPr>
        <w:pStyle w:val="NoSpacing"/>
        <w:rPr>
          <w:rFonts w:ascii="Open Sans" w:hAnsi="Open Sans" w:cs="Open Sans"/>
          <w:b/>
          <w:sz w:val="23"/>
          <w:szCs w:val="23"/>
        </w:rPr>
      </w:pPr>
      <w:r w:rsidRPr="00FD1118">
        <w:rPr>
          <w:rFonts w:ascii="Open Sans" w:hAnsi="Open Sans" w:cs="Open Sans"/>
          <w:b/>
          <w:sz w:val="23"/>
          <w:szCs w:val="23"/>
        </w:rPr>
        <w:t xml:space="preserve">Data </w:t>
      </w:r>
      <w:r w:rsidR="00B943B5" w:rsidRPr="00FD1118">
        <w:rPr>
          <w:rFonts w:ascii="Open Sans" w:hAnsi="Open Sans" w:cs="Open Sans"/>
          <w:b/>
          <w:sz w:val="23"/>
          <w:szCs w:val="23"/>
        </w:rPr>
        <w:t xml:space="preserve">source </w:t>
      </w:r>
      <w:r w:rsidRPr="00FD1118">
        <w:rPr>
          <w:rFonts w:ascii="Open Sans" w:hAnsi="Open Sans" w:cs="Open Sans"/>
          <w:b/>
          <w:sz w:val="23"/>
          <w:szCs w:val="23"/>
        </w:rPr>
        <w:t>and interpretation:</w:t>
      </w:r>
    </w:p>
    <w:p w14:paraId="3D4856C7" w14:textId="65EC3C11" w:rsidR="008B1FC1" w:rsidRPr="00FD1118" w:rsidRDefault="00B943B5" w:rsidP="00F57EFE">
      <w:pPr>
        <w:pStyle w:val="NoSpacing"/>
        <w:rPr>
          <w:rFonts w:ascii="Open Sans" w:hAnsi="Open Sans" w:cs="Open Sans"/>
          <w:sz w:val="23"/>
          <w:szCs w:val="23"/>
        </w:rPr>
      </w:pPr>
      <w:r w:rsidRPr="00FD1118">
        <w:rPr>
          <w:rFonts w:ascii="Open Sans" w:hAnsi="Open Sans" w:cs="Open Sans"/>
          <w:sz w:val="23"/>
          <w:szCs w:val="23"/>
        </w:rPr>
        <w:t>All data is derived from the DfE 2018 performance tables.</w:t>
      </w:r>
    </w:p>
    <w:p w14:paraId="711C4E14" w14:textId="11290C9B" w:rsidR="007E5544" w:rsidRPr="00FD1118" w:rsidRDefault="00B943B5" w:rsidP="00F57EFE">
      <w:pPr>
        <w:pStyle w:val="NoSpacing"/>
        <w:rPr>
          <w:rFonts w:ascii="Open Sans" w:hAnsi="Open Sans" w:cs="Open Sans"/>
          <w:sz w:val="23"/>
          <w:szCs w:val="23"/>
        </w:rPr>
      </w:pPr>
      <w:r w:rsidRPr="00FD1118">
        <w:rPr>
          <w:rFonts w:ascii="Open Sans" w:hAnsi="Open Sans" w:cs="Open Sans"/>
          <w:sz w:val="23"/>
          <w:szCs w:val="23"/>
        </w:rPr>
        <w:t xml:space="preserve">Average cohort sizes are approximations </w:t>
      </w:r>
      <w:r w:rsidR="007E5544" w:rsidRPr="00FD1118">
        <w:rPr>
          <w:rFonts w:ascii="Open Sans" w:hAnsi="Open Sans" w:cs="Open Sans"/>
          <w:sz w:val="23"/>
          <w:szCs w:val="23"/>
        </w:rPr>
        <w:t>as all groups from 1-5 have their data suppressed and an assumption has been made that these ‘suppressed’ group sizes average 3 students per group.</w:t>
      </w:r>
    </w:p>
    <w:p w14:paraId="578B3981" w14:textId="55DB8111" w:rsidR="007E5544" w:rsidRPr="00FD1118" w:rsidRDefault="007E5544" w:rsidP="00F57EFE">
      <w:pPr>
        <w:pStyle w:val="NoSpacing"/>
        <w:rPr>
          <w:rFonts w:ascii="Open Sans" w:hAnsi="Open Sans" w:cs="Open Sans"/>
          <w:sz w:val="23"/>
          <w:szCs w:val="23"/>
        </w:rPr>
      </w:pPr>
      <w:r w:rsidRPr="00FD1118">
        <w:rPr>
          <w:rFonts w:ascii="Open Sans" w:hAnsi="Open Sans" w:cs="Open Sans"/>
          <w:sz w:val="23"/>
          <w:szCs w:val="23"/>
        </w:rPr>
        <w:t>Colleges are defined as incorporated FE and sixth form colleges and those 16-19 academy converters which were formerly incorporated sixth form colleges.</w:t>
      </w:r>
    </w:p>
    <w:p w14:paraId="01BE3189" w14:textId="77777777" w:rsidR="00FD1118" w:rsidRPr="00FD1118" w:rsidRDefault="00FD1118" w:rsidP="00495988">
      <w:pPr>
        <w:rPr>
          <w:rFonts w:ascii="Open Sans" w:hAnsi="Open Sans" w:cs="Open Sans"/>
          <w:sz w:val="23"/>
          <w:szCs w:val="23"/>
          <w:lang w:val="en-US"/>
        </w:rPr>
      </w:pPr>
    </w:p>
    <w:p w14:paraId="26D914E9" w14:textId="77777777" w:rsidR="00FD1118" w:rsidRPr="00FD1118" w:rsidRDefault="00FD1118" w:rsidP="00FD1118">
      <w:pPr>
        <w:pStyle w:val="NoSpacing"/>
        <w:rPr>
          <w:rFonts w:ascii="Open Sans" w:hAnsi="Open Sans" w:cs="Open Sans"/>
          <w:b/>
          <w:color w:val="00AFBD" w:themeColor="accent1"/>
          <w:sz w:val="23"/>
          <w:szCs w:val="23"/>
        </w:rPr>
      </w:pPr>
      <w:r w:rsidRPr="00FD1118">
        <w:rPr>
          <w:rFonts w:ascii="Open Sans" w:hAnsi="Open Sans" w:cs="Open Sans"/>
          <w:b/>
          <w:color w:val="00AFBD" w:themeColor="accent1"/>
          <w:sz w:val="23"/>
          <w:szCs w:val="23"/>
        </w:rPr>
        <w:t xml:space="preserve">About </w:t>
      </w:r>
      <w:proofErr w:type="spellStart"/>
      <w:r w:rsidRPr="00FD1118">
        <w:rPr>
          <w:rFonts w:ascii="Open Sans" w:hAnsi="Open Sans" w:cs="Open Sans"/>
          <w:b/>
          <w:color w:val="00AFBD" w:themeColor="accent1"/>
          <w:sz w:val="23"/>
          <w:szCs w:val="23"/>
        </w:rPr>
        <w:t>AoC</w:t>
      </w:r>
      <w:proofErr w:type="spellEnd"/>
    </w:p>
    <w:p w14:paraId="76770659" w14:textId="7B2B7924" w:rsidR="00FD1118" w:rsidRPr="00FD1118" w:rsidRDefault="00FD1118" w:rsidP="00FD1118">
      <w:pPr>
        <w:pStyle w:val="NoSpacing"/>
        <w:rPr>
          <w:rFonts w:eastAsia="Times New Roman"/>
          <w:sz w:val="23"/>
          <w:szCs w:val="23"/>
        </w:rPr>
      </w:pPr>
      <w:r w:rsidRPr="00FD1118">
        <w:rPr>
          <w:rFonts w:eastAsia="Times New Roman"/>
          <w:sz w:val="23"/>
          <w:szCs w:val="23"/>
        </w:rPr>
        <w:t>The Association of Colleges (</w:t>
      </w:r>
      <w:proofErr w:type="spellStart"/>
      <w:r w:rsidRPr="00FD1118">
        <w:rPr>
          <w:rFonts w:eastAsia="Times New Roman"/>
          <w:sz w:val="23"/>
          <w:szCs w:val="23"/>
        </w:rPr>
        <w:t>AoC</w:t>
      </w:r>
      <w:proofErr w:type="spellEnd"/>
      <w:r w:rsidRPr="00FD1118">
        <w:rPr>
          <w:rFonts w:eastAsia="Times New Roman"/>
          <w:sz w:val="23"/>
          <w:szCs w:val="23"/>
        </w:rPr>
        <w:t xml:space="preserve">) represents nearly 95% of the 251 colleges in England. </w:t>
      </w:r>
      <w:r w:rsidRPr="00FD1118">
        <w:rPr>
          <w:rFonts w:eastAsia="Times New Roman"/>
          <w:sz w:val="23"/>
          <w:szCs w:val="23"/>
          <w:lang w:eastAsia="en-GB"/>
        </w:rPr>
        <w:t>Further education colleges are an essential part of England’s education system. Whether it’s through top-class technical education, basic skills or lifelong learning, colleges help people of all ages and backgrounds to make the most of their talents and ambitions. Rooted in local communities, they are crucial in driving social mobility and providing the skills to boost local and regional economies.</w:t>
      </w:r>
    </w:p>
    <w:p w14:paraId="4DB3D6D7" w14:textId="77777777" w:rsidR="00FD1118" w:rsidRPr="00FD1118" w:rsidRDefault="00FD1118" w:rsidP="00FD1118">
      <w:pPr>
        <w:pStyle w:val="NoSpacing"/>
        <w:rPr>
          <w:rFonts w:ascii="Open Sans" w:eastAsia="Times New Roman" w:hAnsi="Open Sans" w:cs="Open Sans"/>
          <w:sz w:val="23"/>
          <w:szCs w:val="23"/>
          <w:lang w:eastAsia="en-GB"/>
        </w:rPr>
      </w:pPr>
    </w:p>
    <w:p w14:paraId="455C896E" w14:textId="77777777" w:rsidR="00FD1118" w:rsidRPr="00FD1118" w:rsidRDefault="00FD1118" w:rsidP="00FD1118">
      <w:pPr>
        <w:pStyle w:val="Heading1"/>
        <w:rPr>
          <w:rFonts w:ascii="Open Sans" w:hAnsi="Open Sans" w:cs="Open Sans"/>
          <w:b w:val="0"/>
          <w:color w:val="auto"/>
          <w:sz w:val="23"/>
          <w:szCs w:val="23"/>
        </w:rPr>
      </w:pPr>
      <w:r w:rsidRPr="00FD1118">
        <w:rPr>
          <w:rFonts w:ascii="Open Sans" w:hAnsi="Open Sans" w:cs="Open Sans"/>
          <w:b w:val="0"/>
          <w:color w:val="auto"/>
          <w:sz w:val="23"/>
          <w:szCs w:val="23"/>
        </w:rPr>
        <w:t xml:space="preserve">For further information contact: Eddie Playfair, Senior Policy Manager at </w:t>
      </w:r>
      <w:hyperlink r:id="rId9" w:history="1">
        <w:r w:rsidRPr="00FD1118">
          <w:rPr>
            <w:rStyle w:val="Hyperlink"/>
            <w:rFonts w:ascii="Open Sans" w:hAnsi="Open Sans" w:cs="Open Sans"/>
            <w:b w:val="0"/>
            <w:color w:val="auto"/>
            <w:sz w:val="23"/>
            <w:szCs w:val="23"/>
          </w:rPr>
          <w:t>eddie.playfair@aoc.co.uk</w:t>
        </w:r>
      </w:hyperlink>
      <w:r w:rsidRPr="00FD1118">
        <w:rPr>
          <w:rFonts w:ascii="Open Sans" w:hAnsi="Open Sans" w:cs="Open Sans"/>
          <w:b w:val="0"/>
          <w:color w:val="auto"/>
          <w:sz w:val="23"/>
          <w:szCs w:val="23"/>
        </w:rPr>
        <w:t xml:space="preserve"> </w:t>
      </w:r>
    </w:p>
    <w:p w14:paraId="2C22928A" w14:textId="77777777" w:rsidR="00FD1118" w:rsidRPr="00FD1118" w:rsidRDefault="00FD1118" w:rsidP="00FD1118">
      <w:pPr>
        <w:pStyle w:val="NoSpacing"/>
        <w:rPr>
          <w:rFonts w:ascii="Open Sans" w:hAnsi="Open Sans" w:cs="Open Sans"/>
          <w:sz w:val="23"/>
          <w:szCs w:val="23"/>
          <w:lang w:val="en-US"/>
        </w:rPr>
      </w:pPr>
    </w:p>
    <w:p w14:paraId="7FD92168" w14:textId="48BD95A4" w:rsidR="00FD1118" w:rsidRPr="00FD1118" w:rsidRDefault="00FD1118" w:rsidP="00FD1118">
      <w:pPr>
        <w:pStyle w:val="NoSpacing"/>
        <w:rPr>
          <w:rFonts w:ascii="Open Sans" w:hAnsi="Open Sans" w:cs="Open Sans"/>
          <w:sz w:val="23"/>
          <w:szCs w:val="23"/>
          <w:lang w:val="en-US"/>
        </w:rPr>
      </w:pPr>
      <w:r w:rsidRPr="00FD1118">
        <w:rPr>
          <w:rFonts w:ascii="Open Sans" w:hAnsi="Open Sans" w:cs="Open Sans"/>
          <w:sz w:val="23"/>
          <w:szCs w:val="23"/>
          <w:lang w:val="en-US"/>
        </w:rPr>
        <w:t>June 2019</w:t>
      </w:r>
    </w:p>
    <w:p w14:paraId="319C5EFF" w14:textId="77777777" w:rsidR="006A0765" w:rsidRDefault="006A0765" w:rsidP="009E7312">
      <w:pPr>
        <w:pStyle w:val="NormalWeb"/>
        <w:shd w:val="clear" w:color="auto" w:fill="FFFFFF"/>
        <w:spacing w:before="0" w:beforeAutospacing="0" w:after="0" w:afterAutospacing="0"/>
        <w:rPr>
          <w:rFonts w:ascii="Open Sans" w:hAnsi="Open Sans" w:cs="Open Sans"/>
        </w:rPr>
      </w:pPr>
    </w:p>
    <w:sectPr w:rsidR="006A0765" w:rsidSect="00453267">
      <w:headerReference w:type="default" r:id="rId10"/>
      <w:footerReference w:type="default" r:id="rId11"/>
      <w:headerReference w:type="first" r:id="rId12"/>
      <w:footerReference w:type="first" r:id="rId13"/>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8F6D" w14:textId="77777777" w:rsidR="004D075D" w:rsidRDefault="004D075D" w:rsidP="00A9778F">
      <w:r>
        <w:separator/>
      </w:r>
    </w:p>
  </w:endnote>
  <w:endnote w:type="continuationSeparator" w:id="0">
    <w:p w14:paraId="70BA4ECD" w14:textId="77777777" w:rsidR="004D075D" w:rsidRDefault="004D075D"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81FE" w14:textId="77777777" w:rsidR="00406DA1" w:rsidRDefault="00406DA1">
    <w:pPr>
      <w:pStyle w:val="Footer"/>
    </w:pPr>
  </w:p>
  <w:p w14:paraId="6CD8A3F8" w14:textId="77777777" w:rsidR="00406DA1" w:rsidRDefault="0040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14:paraId="29276235" w14:textId="77777777" w:rsidR="00406DA1" w:rsidRDefault="00406DA1">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14:paraId="66EF53EF" w14:textId="77777777" w:rsidR="00406DA1" w:rsidRDefault="0040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EE69" w14:textId="77777777" w:rsidR="004D075D" w:rsidRDefault="004D075D" w:rsidP="00A9778F">
      <w:r>
        <w:separator/>
      </w:r>
    </w:p>
  </w:footnote>
  <w:footnote w:type="continuationSeparator" w:id="0">
    <w:p w14:paraId="18D2AF2D" w14:textId="77777777" w:rsidR="004D075D" w:rsidRDefault="004D075D"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DD1A" w14:textId="77777777" w:rsidR="00406DA1" w:rsidRDefault="00406DA1">
    <w:pPr>
      <w:pStyle w:val="Header"/>
    </w:pPr>
  </w:p>
  <w:p w14:paraId="2C8C0028" w14:textId="77777777" w:rsidR="00406DA1" w:rsidRDefault="0040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4CFF" w14:textId="77777777" w:rsidR="00406DA1" w:rsidRDefault="00406DA1">
    <w:pPr>
      <w:pStyle w:val="Header"/>
    </w:pPr>
    <w:r>
      <w:rPr>
        <w:noProof/>
        <w:lang w:eastAsia="en-GB"/>
      </w:rPr>
      <w:drawing>
        <wp:anchor distT="0" distB="0" distL="114300" distR="114300" simplePos="0" relativeHeight="251658240" behindDoc="1" locked="0" layoutInCell="1" allowOverlap="1" wp14:anchorId="5F5936A2" wp14:editId="7C91D7CA">
          <wp:simplePos x="0" y="0"/>
          <wp:positionH relativeFrom="column">
            <wp:posOffset>2122805</wp:posOffset>
          </wp:positionH>
          <wp:positionV relativeFrom="paragraph">
            <wp:posOffset>-52070</wp:posOffset>
          </wp:positionV>
          <wp:extent cx="1496695" cy="974090"/>
          <wp:effectExtent l="0" t="0" r="8255" b="0"/>
          <wp:wrapTight wrapText="bothSides">
            <wp:wrapPolygon edited="0">
              <wp:start x="2199" y="0"/>
              <wp:lineTo x="0" y="2535"/>
              <wp:lineTo x="0" y="13518"/>
              <wp:lineTo x="10722" y="13518"/>
              <wp:lineTo x="5773" y="15630"/>
              <wp:lineTo x="4674" y="16897"/>
              <wp:lineTo x="4674" y="21121"/>
              <wp:lineTo x="17870" y="21121"/>
              <wp:lineTo x="18420" y="16475"/>
              <wp:lineTo x="17320" y="15630"/>
              <wp:lineTo x="10722" y="13518"/>
              <wp:lineTo x="21444" y="13518"/>
              <wp:lineTo x="21444" y="8871"/>
              <wp:lineTo x="16221" y="6759"/>
              <wp:lineTo x="21444" y="3802"/>
              <wp:lineTo x="21444" y="1267"/>
              <wp:lineTo x="20345" y="0"/>
              <wp:lineTo x="21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6C73B2"/>
    <w:multiLevelType w:val="hybridMultilevel"/>
    <w:tmpl w:val="8CE83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14476672">
    <w:abstractNumId w:val="5"/>
  </w:num>
  <w:num w:numId="2" w16cid:durableId="1090737481">
    <w:abstractNumId w:val="6"/>
  </w:num>
  <w:num w:numId="3" w16cid:durableId="1173253201">
    <w:abstractNumId w:val="2"/>
  </w:num>
  <w:num w:numId="4" w16cid:durableId="889538353">
    <w:abstractNumId w:val="0"/>
  </w:num>
  <w:num w:numId="5" w16cid:durableId="956183187">
    <w:abstractNumId w:val="7"/>
  </w:num>
  <w:num w:numId="6" w16cid:durableId="1853447688">
    <w:abstractNumId w:val="4"/>
  </w:num>
  <w:num w:numId="7" w16cid:durableId="1370489319">
    <w:abstractNumId w:val="1"/>
  </w:num>
  <w:num w:numId="8" w16cid:durableId="1528131152">
    <w:abstractNumId w:val="8"/>
  </w:num>
  <w:num w:numId="9" w16cid:durableId="1394893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A"/>
    <w:rsid w:val="000F5E05"/>
    <w:rsid w:val="00111E0D"/>
    <w:rsid w:val="00117C98"/>
    <w:rsid w:val="001312A9"/>
    <w:rsid w:val="00184BF4"/>
    <w:rsid w:val="00207E07"/>
    <w:rsid w:val="00314071"/>
    <w:rsid w:val="00380279"/>
    <w:rsid w:val="003B773F"/>
    <w:rsid w:val="003D4680"/>
    <w:rsid w:val="00406DA1"/>
    <w:rsid w:val="00422E8A"/>
    <w:rsid w:val="00453267"/>
    <w:rsid w:val="00495988"/>
    <w:rsid w:val="004D075D"/>
    <w:rsid w:val="005031DD"/>
    <w:rsid w:val="00504243"/>
    <w:rsid w:val="00521482"/>
    <w:rsid w:val="005334C6"/>
    <w:rsid w:val="00596C92"/>
    <w:rsid w:val="005D22FA"/>
    <w:rsid w:val="005F50D2"/>
    <w:rsid w:val="00602D67"/>
    <w:rsid w:val="006A0765"/>
    <w:rsid w:val="0075765F"/>
    <w:rsid w:val="00792E38"/>
    <w:rsid w:val="007E5544"/>
    <w:rsid w:val="007F1615"/>
    <w:rsid w:val="0082032F"/>
    <w:rsid w:val="00825B7B"/>
    <w:rsid w:val="00826CAA"/>
    <w:rsid w:val="008A7997"/>
    <w:rsid w:val="008B1FC1"/>
    <w:rsid w:val="009E7312"/>
    <w:rsid w:val="00A1617A"/>
    <w:rsid w:val="00A75CCA"/>
    <w:rsid w:val="00A9778F"/>
    <w:rsid w:val="00B16A53"/>
    <w:rsid w:val="00B241A0"/>
    <w:rsid w:val="00B943B5"/>
    <w:rsid w:val="00BC050F"/>
    <w:rsid w:val="00BE185D"/>
    <w:rsid w:val="00C64B4E"/>
    <w:rsid w:val="00C767A0"/>
    <w:rsid w:val="00CA15BB"/>
    <w:rsid w:val="00CD04E9"/>
    <w:rsid w:val="00D053EC"/>
    <w:rsid w:val="00E15424"/>
    <w:rsid w:val="00ED1456"/>
    <w:rsid w:val="00ED16EB"/>
    <w:rsid w:val="00F0061A"/>
    <w:rsid w:val="00F01386"/>
    <w:rsid w:val="00F57EFE"/>
    <w:rsid w:val="00F947A8"/>
    <w:rsid w:val="00FC4A39"/>
    <w:rsid w:val="00FD1118"/>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D107"/>
  <w15:docId w15:val="{D790B97A-BA91-5D4B-9E4B-D198E6B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826CAA"/>
    <w:pPr>
      <w:spacing w:after="0"/>
      <w:jc w:val="center"/>
    </w:pPr>
    <w:rPr>
      <w:rFonts w:ascii="Open Sans Light" w:hAnsi="Open Sans Light"/>
      <w:b w:val="0"/>
      <w:color w:val="FFFFFF" w:themeColor="background1"/>
      <w:sz w:val="44"/>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5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UnresolvedMention">
    <w:name w:val="Unresolved Mention"/>
    <w:basedOn w:val="DefaultParagraphFont"/>
    <w:uiPriority w:val="99"/>
    <w:semiHidden/>
    <w:unhideWhenUsed/>
    <w:rsid w:val="00C76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online.rcm.ac.uk/502/1/RCM%20RAM%20Report%20FINAL%20%20%28redacted%2918041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die.playfair@aoc.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A4A0-005B-457B-BE4D-E03BFF90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Eddie Playfair</cp:lastModifiedBy>
  <cp:revision>2</cp:revision>
  <dcterms:created xsi:type="dcterms:W3CDTF">2022-05-19T13:26:00Z</dcterms:created>
  <dcterms:modified xsi:type="dcterms:W3CDTF">2022-05-19T13:26:00Z</dcterms:modified>
</cp:coreProperties>
</file>